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50" w:rsidRPr="00987D8C" w:rsidRDefault="00EB2650" w:rsidP="003D0C5F">
      <w:pPr>
        <w:pStyle w:val="ConsPlusTitle"/>
        <w:jc w:val="center"/>
        <w:rPr>
          <w:sz w:val="24"/>
          <w:szCs w:val="24"/>
        </w:rPr>
      </w:pPr>
      <w:r w:rsidRPr="00987D8C">
        <w:rPr>
          <w:sz w:val="24"/>
          <w:szCs w:val="24"/>
        </w:rPr>
        <w:t>ИРКУТСКАЯ ОБЛАСТЬ</w:t>
      </w:r>
    </w:p>
    <w:p w:rsidR="00EB2650" w:rsidRPr="00987D8C" w:rsidRDefault="00EB2650" w:rsidP="003D0C5F">
      <w:pPr>
        <w:pStyle w:val="ConsPlusTitle"/>
        <w:jc w:val="center"/>
        <w:rPr>
          <w:sz w:val="24"/>
          <w:szCs w:val="24"/>
        </w:rPr>
      </w:pPr>
      <w:r w:rsidRPr="00987D8C">
        <w:rPr>
          <w:sz w:val="24"/>
          <w:szCs w:val="24"/>
        </w:rPr>
        <w:t>Тулунский район</w:t>
      </w:r>
    </w:p>
    <w:p w:rsidR="00EB2650" w:rsidRPr="00987D8C" w:rsidRDefault="00EB2650">
      <w:pPr>
        <w:pStyle w:val="ConsPlusTitle"/>
        <w:jc w:val="center"/>
        <w:rPr>
          <w:sz w:val="24"/>
          <w:szCs w:val="24"/>
        </w:rPr>
      </w:pPr>
      <w:r w:rsidRPr="00987D8C">
        <w:rPr>
          <w:sz w:val="24"/>
          <w:szCs w:val="24"/>
        </w:rPr>
        <w:t>АДМИНИСТРАЦИЯ ИКЕЙСКОГО СЕЛЬСКОГО ПОСЕЛЕНИЯ</w:t>
      </w:r>
    </w:p>
    <w:p w:rsidR="00EB2650" w:rsidRPr="00987D8C" w:rsidRDefault="00EB2650">
      <w:pPr>
        <w:pStyle w:val="ConsPlusTitle"/>
        <w:jc w:val="center"/>
        <w:rPr>
          <w:sz w:val="24"/>
          <w:szCs w:val="24"/>
        </w:rPr>
      </w:pPr>
    </w:p>
    <w:p w:rsidR="00EB2650" w:rsidRPr="00987D8C" w:rsidRDefault="00EB2650">
      <w:pPr>
        <w:pStyle w:val="ConsPlusTitle"/>
        <w:jc w:val="center"/>
        <w:rPr>
          <w:sz w:val="24"/>
          <w:szCs w:val="24"/>
        </w:rPr>
      </w:pPr>
      <w:r w:rsidRPr="00987D8C">
        <w:rPr>
          <w:sz w:val="24"/>
          <w:szCs w:val="24"/>
        </w:rPr>
        <w:t>ПОСТАНОВЛЕНИЕ</w:t>
      </w:r>
    </w:p>
    <w:p w:rsidR="00EB2650" w:rsidRPr="00987D8C" w:rsidRDefault="00EB2650">
      <w:pPr>
        <w:pStyle w:val="ConsPlusTitle"/>
        <w:jc w:val="center"/>
        <w:rPr>
          <w:sz w:val="24"/>
          <w:szCs w:val="24"/>
        </w:rPr>
      </w:pPr>
      <w:r w:rsidRPr="00987D8C">
        <w:rPr>
          <w:sz w:val="24"/>
          <w:szCs w:val="24"/>
        </w:rPr>
        <w:t xml:space="preserve">от  25 февраля </w:t>
      </w:r>
      <w:smartTag w:uri="urn:schemas-microsoft-com:office:smarttags" w:element="metricconverter">
        <w:smartTagPr>
          <w:attr w:name="ProductID" w:val="2016 г"/>
        </w:smartTagPr>
        <w:r w:rsidRPr="00987D8C">
          <w:rPr>
            <w:sz w:val="24"/>
            <w:szCs w:val="24"/>
          </w:rPr>
          <w:t>2016 г</w:t>
        </w:r>
      </w:smartTag>
      <w:r w:rsidRPr="00987D8C">
        <w:rPr>
          <w:sz w:val="24"/>
          <w:szCs w:val="24"/>
        </w:rPr>
        <w:t>.                                                                                                               N  8</w:t>
      </w:r>
    </w:p>
    <w:p w:rsidR="00EB2650" w:rsidRPr="00987D8C" w:rsidRDefault="00EB2650">
      <w:pPr>
        <w:pStyle w:val="ConsPlusTitle"/>
        <w:jc w:val="center"/>
        <w:rPr>
          <w:sz w:val="24"/>
          <w:szCs w:val="24"/>
        </w:rPr>
      </w:pPr>
    </w:p>
    <w:p w:rsidR="00EB2650" w:rsidRPr="00987D8C" w:rsidRDefault="00EB2650">
      <w:pPr>
        <w:pStyle w:val="ConsPlusTitle"/>
        <w:jc w:val="center"/>
        <w:rPr>
          <w:sz w:val="24"/>
          <w:szCs w:val="24"/>
        </w:rPr>
      </w:pPr>
      <w:r w:rsidRPr="00987D8C">
        <w:rPr>
          <w:sz w:val="24"/>
          <w:szCs w:val="24"/>
        </w:rPr>
        <w:t>ОБ УТВЕРЖДЕНИИ ПОЛОЖЕНИЯ О ПОРЯДКЕ ОПРЕДЕЛЕНИЯ РАЗМЕРА</w:t>
      </w:r>
    </w:p>
    <w:p w:rsidR="00EB2650" w:rsidRPr="00987D8C" w:rsidRDefault="00EB2650">
      <w:pPr>
        <w:pStyle w:val="ConsPlusTitle"/>
        <w:jc w:val="center"/>
        <w:rPr>
          <w:sz w:val="24"/>
          <w:szCs w:val="24"/>
        </w:rPr>
      </w:pPr>
      <w:r w:rsidRPr="00987D8C">
        <w:rPr>
          <w:sz w:val="24"/>
          <w:szCs w:val="24"/>
        </w:rPr>
        <w:t>АРЕНДНОЙ ПЛАТЫ, ПОРЯДКЕ, УСЛОВИЯХ И СРОКАХ ВНЕСЕНИЯ</w:t>
      </w:r>
    </w:p>
    <w:p w:rsidR="00EB2650" w:rsidRPr="00987D8C" w:rsidRDefault="00EB2650">
      <w:pPr>
        <w:pStyle w:val="ConsPlusTitle"/>
        <w:jc w:val="center"/>
        <w:rPr>
          <w:sz w:val="24"/>
          <w:szCs w:val="24"/>
        </w:rPr>
      </w:pPr>
      <w:r w:rsidRPr="00987D8C">
        <w:rPr>
          <w:sz w:val="24"/>
          <w:szCs w:val="24"/>
        </w:rPr>
        <w:t>АРЕНДНОЙ ПЛАТЫ ЗА ИСПОЛЬЗОВАНИЕ ЗЕМЕЛЬНЫХ УЧАСТКОВ,</w:t>
      </w:r>
    </w:p>
    <w:p w:rsidR="00EB2650" w:rsidRPr="00987D8C" w:rsidRDefault="00EB2650">
      <w:pPr>
        <w:pStyle w:val="ConsPlusTitle"/>
        <w:jc w:val="center"/>
        <w:rPr>
          <w:sz w:val="24"/>
          <w:szCs w:val="24"/>
        </w:rPr>
      </w:pPr>
      <w:r w:rsidRPr="00987D8C">
        <w:rPr>
          <w:sz w:val="24"/>
          <w:szCs w:val="24"/>
        </w:rPr>
        <w:t>НАХОДЯЩИХСЯ В МУНИЦИПАЛЬНОЙ СОБСТВЕННОСТИ ИКЕЙСКОГО СЕЛЬСКОГО ПОСЕЛЕНИЯ</w:t>
      </w:r>
    </w:p>
    <w:p w:rsidR="00EB2650" w:rsidRPr="00987D8C" w:rsidRDefault="00EB2650">
      <w:pPr>
        <w:pStyle w:val="ConsPlusNormal"/>
        <w:jc w:val="both"/>
        <w:rPr>
          <w:sz w:val="24"/>
          <w:szCs w:val="24"/>
        </w:rPr>
      </w:pPr>
    </w:p>
    <w:p w:rsidR="00EB2650" w:rsidRPr="00987D8C" w:rsidRDefault="00EB2650" w:rsidP="0017482F">
      <w:pPr>
        <w:pStyle w:val="ConsPlusNormal"/>
        <w:ind w:firstLine="540"/>
        <w:jc w:val="both"/>
        <w:rPr>
          <w:sz w:val="24"/>
          <w:szCs w:val="24"/>
        </w:rPr>
      </w:pPr>
      <w:r w:rsidRPr="00987D8C">
        <w:rPr>
          <w:sz w:val="24"/>
          <w:szCs w:val="24"/>
        </w:rPr>
        <w:t>В соответствии с ч. 3 ст. 39.7 Земельного кодекса Российской Федерации, руководствуясь Уставом  Икейского сельского поселения, Администрация Икейского сельского поселения постановляет:</w:t>
      </w:r>
    </w:p>
    <w:p w:rsidR="00EB2650" w:rsidRPr="00987D8C" w:rsidRDefault="00EB2650">
      <w:pPr>
        <w:pStyle w:val="ConsPlusNormal"/>
        <w:jc w:val="both"/>
        <w:rPr>
          <w:sz w:val="24"/>
          <w:szCs w:val="24"/>
        </w:rPr>
      </w:pPr>
    </w:p>
    <w:p w:rsidR="00EB2650" w:rsidRPr="00987D8C" w:rsidRDefault="00EB2650">
      <w:pPr>
        <w:pStyle w:val="ConsPlusNormal"/>
        <w:ind w:firstLine="540"/>
        <w:jc w:val="both"/>
        <w:rPr>
          <w:sz w:val="24"/>
          <w:szCs w:val="24"/>
        </w:rPr>
      </w:pPr>
      <w:r w:rsidRPr="00987D8C">
        <w:rPr>
          <w:sz w:val="24"/>
          <w:szCs w:val="24"/>
        </w:rPr>
        <w:t xml:space="preserve">1. Утвердить </w:t>
      </w:r>
      <w:hyperlink w:anchor="P39" w:history="1">
        <w:r w:rsidRPr="00987D8C">
          <w:rPr>
            <w:color w:val="0000FF"/>
            <w:sz w:val="24"/>
            <w:szCs w:val="24"/>
          </w:rPr>
          <w:t>Положение</w:t>
        </w:r>
      </w:hyperlink>
      <w:r w:rsidRPr="00987D8C">
        <w:rPr>
          <w:sz w:val="24"/>
          <w:szCs w:val="24"/>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Икейского сельского поселения (прилагается).</w:t>
      </w: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pPr>
        <w:pStyle w:val="ConsPlusNormal"/>
        <w:ind w:firstLine="540"/>
        <w:jc w:val="both"/>
        <w:rPr>
          <w:sz w:val="24"/>
          <w:szCs w:val="24"/>
        </w:rPr>
      </w:pPr>
      <w:r w:rsidRPr="00987D8C">
        <w:rPr>
          <w:sz w:val="24"/>
          <w:szCs w:val="24"/>
        </w:rPr>
        <w:t>3. Настоящее постановление подлежит официальному опубликованию в газете "Икейский вестник".</w:t>
      </w: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rsidP="006607C8">
      <w:pPr>
        <w:pStyle w:val="ConsPlusNormal"/>
        <w:rPr>
          <w:sz w:val="24"/>
          <w:szCs w:val="24"/>
        </w:rPr>
      </w:pPr>
      <w:r w:rsidRPr="00987D8C">
        <w:rPr>
          <w:sz w:val="24"/>
          <w:szCs w:val="24"/>
        </w:rPr>
        <w:t>Глава Икейского сельского поселения                                                                 С.А. Мусаев</w:t>
      </w: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Default="00EB2650">
      <w:pPr>
        <w:pStyle w:val="ConsPlusNormal"/>
        <w:jc w:val="both"/>
      </w:pPr>
    </w:p>
    <w:p w:rsidR="00EB2650" w:rsidRPr="00987D8C" w:rsidRDefault="00EB2650">
      <w:pPr>
        <w:pStyle w:val="ConsPlusNormal"/>
        <w:jc w:val="right"/>
        <w:rPr>
          <w:sz w:val="24"/>
          <w:szCs w:val="24"/>
        </w:rPr>
      </w:pPr>
      <w:r w:rsidRPr="00987D8C">
        <w:rPr>
          <w:sz w:val="24"/>
          <w:szCs w:val="24"/>
        </w:rPr>
        <w:t>Утверждено</w:t>
      </w:r>
    </w:p>
    <w:p w:rsidR="00EB2650" w:rsidRPr="00987D8C" w:rsidRDefault="00EB2650">
      <w:pPr>
        <w:pStyle w:val="ConsPlusNormal"/>
        <w:jc w:val="right"/>
        <w:rPr>
          <w:sz w:val="24"/>
          <w:szCs w:val="24"/>
        </w:rPr>
      </w:pPr>
      <w:r w:rsidRPr="00987D8C">
        <w:rPr>
          <w:sz w:val="24"/>
          <w:szCs w:val="24"/>
        </w:rPr>
        <w:t>постановлением</w:t>
      </w:r>
    </w:p>
    <w:p w:rsidR="00EB2650" w:rsidRPr="00987D8C" w:rsidRDefault="00EB2650">
      <w:pPr>
        <w:pStyle w:val="ConsPlusNormal"/>
        <w:jc w:val="right"/>
        <w:rPr>
          <w:sz w:val="24"/>
          <w:szCs w:val="24"/>
        </w:rPr>
      </w:pPr>
      <w:r w:rsidRPr="00987D8C">
        <w:rPr>
          <w:sz w:val="24"/>
          <w:szCs w:val="24"/>
        </w:rPr>
        <w:t>администрации Икейского</w:t>
      </w:r>
    </w:p>
    <w:p w:rsidR="00EB2650" w:rsidRPr="00987D8C" w:rsidRDefault="00EB2650">
      <w:pPr>
        <w:pStyle w:val="ConsPlusNormal"/>
        <w:jc w:val="right"/>
        <w:rPr>
          <w:sz w:val="24"/>
          <w:szCs w:val="24"/>
        </w:rPr>
      </w:pPr>
      <w:r w:rsidRPr="00987D8C">
        <w:rPr>
          <w:sz w:val="24"/>
          <w:szCs w:val="24"/>
        </w:rPr>
        <w:t>сельского поселения</w:t>
      </w:r>
    </w:p>
    <w:p w:rsidR="00EB2650" w:rsidRPr="00987D8C" w:rsidRDefault="00EB2650" w:rsidP="00987D8C">
      <w:pPr>
        <w:pStyle w:val="ConsPlusNormal"/>
        <w:jc w:val="center"/>
        <w:rPr>
          <w:sz w:val="24"/>
          <w:szCs w:val="24"/>
        </w:rPr>
      </w:pPr>
      <w:r w:rsidRPr="00987D8C">
        <w:rPr>
          <w:sz w:val="24"/>
          <w:szCs w:val="24"/>
        </w:rPr>
        <w:t xml:space="preserve">                                                                                                </w:t>
      </w:r>
      <w:r>
        <w:rPr>
          <w:sz w:val="24"/>
          <w:szCs w:val="24"/>
        </w:rPr>
        <w:t xml:space="preserve">                    </w:t>
      </w:r>
      <w:r w:rsidRPr="00987D8C">
        <w:rPr>
          <w:sz w:val="24"/>
          <w:szCs w:val="24"/>
        </w:rPr>
        <w:t>от  25 февраля 2016 года   N 8</w:t>
      </w:r>
    </w:p>
    <w:p w:rsidR="00EB2650" w:rsidRPr="00987D8C" w:rsidRDefault="00EB2650">
      <w:pPr>
        <w:pStyle w:val="ConsPlusNormal"/>
        <w:jc w:val="both"/>
        <w:rPr>
          <w:sz w:val="24"/>
          <w:szCs w:val="24"/>
        </w:rPr>
      </w:pPr>
    </w:p>
    <w:p w:rsidR="00EB2650" w:rsidRPr="00987D8C" w:rsidRDefault="00EB2650">
      <w:pPr>
        <w:pStyle w:val="ConsPlusTitle"/>
        <w:jc w:val="center"/>
        <w:rPr>
          <w:sz w:val="24"/>
          <w:szCs w:val="24"/>
        </w:rPr>
      </w:pPr>
      <w:bookmarkStart w:id="0" w:name="P39"/>
      <w:bookmarkEnd w:id="0"/>
      <w:r w:rsidRPr="00987D8C">
        <w:rPr>
          <w:sz w:val="24"/>
          <w:szCs w:val="24"/>
        </w:rPr>
        <w:t>ПОЛОЖЕНИЕ</w:t>
      </w:r>
    </w:p>
    <w:p w:rsidR="00EB2650" w:rsidRPr="00987D8C" w:rsidRDefault="00EB2650">
      <w:pPr>
        <w:pStyle w:val="ConsPlusTitle"/>
        <w:jc w:val="center"/>
        <w:rPr>
          <w:sz w:val="24"/>
          <w:szCs w:val="24"/>
        </w:rPr>
      </w:pPr>
      <w:r w:rsidRPr="00987D8C">
        <w:rPr>
          <w:sz w:val="24"/>
          <w:szCs w:val="24"/>
        </w:rPr>
        <w:t>О ПОРЯДКЕ ОПРЕДЕЛЕНИЯ РАЗМЕРА АРЕНДНОЙ ПЛАТЫ, ПОРЯДКЕ,</w:t>
      </w:r>
    </w:p>
    <w:p w:rsidR="00EB2650" w:rsidRPr="00987D8C" w:rsidRDefault="00EB2650">
      <w:pPr>
        <w:pStyle w:val="ConsPlusTitle"/>
        <w:jc w:val="center"/>
        <w:rPr>
          <w:sz w:val="24"/>
          <w:szCs w:val="24"/>
        </w:rPr>
      </w:pPr>
      <w:r w:rsidRPr="00987D8C">
        <w:rPr>
          <w:sz w:val="24"/>
          <w:szCs w:val="24"/>
        </w:rPr>
        <w:t>УСЛОВИЯХ И СРОКАХ ВНЕСЕНИЯ АРЕНДНОЙ ПЛАТЫ ЗА ИСПОЛЬЗОВАНИЕ</w:t>
      </w:r>
    </w:p>
    <w:p w:rsidR="00EB2650" w:rsidRPr="00987D8C" w:rsidRDefault="00EB2650">
      <w:pPr>
        <w:pStyle w:val="ConsPlusTitle"/>
        <w:jc w:val="center"/>
        <w:rPr>
          <w:sz w:val="24"/>
          <w:szCs w:val="24"/>
        </w:rPr>
      </w:pPr>
      <w:r w:rsidRPr="00987D8C">
        <w:rPr>
          <w:sz w:val="24"/>
          <w:szCs w:val="24"/>
        </w:rPr>
        <w:t>ЗЕМЕЛЬНЫХ УЧАСТКОВ, НАХОДЯЩИХСЯ В МУНИЦИПАЛЬНОЙ СОБСТВЕННОСТИ ИКЕЙСКОГО СЕЛЬСКОГО ПОСЕЛЕНИЯ</w:t>
      </w:r>
    </w:p>
    <w:p w:rsidR="00EB2650" w:rsidRPr="00987D8C" w:rsidRDefault="00EB2650">
      <w:pPr>
        <w:pStyle w:val="ConsPlusNormal"/>
        <w:jc w:val="both"/>
        <w:rPr>
          <w:sz w:val="24"/>
          <w:szCs w:val="24"/>
        </w:rPr>
      </w:pPr>
    </w:p>
    <w:p w:rsidR="00EB2650" w:rsidRPr="00987D8C" w:rsidRDefault="00EB2650">
      <w:pPr>
        <w:pStyle w:val="ConsPlusNormal"/>
        <w:jc w:val="center"/>
        <w:rPr>
          <w:sz w:val="24"/>
          <w:szCs w:val="24"/>
        </w:rPr>
      </w:pPr>
      <w:r w:rsidRPr="00987D8C">
        <w:rPr>
          <w:sz w:val="24"/>
          <w:szCs w:val="24"/>
        </w:rPr>
        <w:t>I. ОБЩИЕ ПОЛОЖЕНИЯ</w:t>
      </w:r>
    </w:p>
    <w:p w:rsidR="00EB2650" w:rsidRPr="00987D8C" w:rsidRDefault="00EB2650">
      <w:pPr>
        <w:pStyle w:val="ConsPlusNormal"/>
        <w:jc w:val="both"/>
        <w:rPr>
          <w:sz w:val="24"/>
          <w:szCs w:val="24"/>
        </w:rPr>
      </w:pP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 xml:space="preserve">1. Настоящее Положение в соответствии с Земельным </w:t>
      </w:r>
      <w:hyperlink r:id="rId4" w:history="1">
        <w:r w:rsidRPr="00987D8C">
          <w:rPr>
            <w:rFonts w:cs="Calibri"/>
            <w:bCs/>
            <w:color w:val="0000FF"/>
            <w:sz w:val="24"/>
            <w:szCs w:val="24"/>
          </w:rPr>
          <w:t>кодексом</w:t>
        </w:r>
      </w:hyperlink>
      <w:r w:rsidRPr="00987D8C">
        <w:rPr>
          <w:rFonts w:cs="Calibri"/>
          <w:bCs/>
          <w:sz w:val="24"/>
          <w:szCs w:val="24"/>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Икейского сельского поселения, предоставленных в аренду без торгов (далее - земельные участки, земельный участок).</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bookmarkStart w:id="1" w:name="Par3"/>
      <w:bookmarkEnd w:id="1"/>
      <w:r w:rsidRPr="00987D8C">
        <w:rPr>
          <w:rFonts w:cs="Calibri"/>
          <w:bCs/>
          <w:sz w:val="24"/>
          <w:szCs w:val="24"/>
        </w:rPr>
        <w:t xml:space="preserve">3.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987D8C">
          <w:rPr>
            <w:rFonts w:cs="Calibri"/>
            <w:bCs/>
            <w:color w:val="0000FF"/>
            <w:sz w:val="24"/>
            <w:szCs w:val="24"/>
          </w:rPr>
          <w:t>пунктами 5</w:t>
        </w:r>
      </w:hyperlink>
      <w:r w:rsidRPr="00987D8C">
        <w:rPr>
          <w:rFonts w:cs="Calibri"/>
          <w:bCs/>
          <w:sz w:val="24"/>
          <w:szCs w:val="24"/>
        </w:rPr>
        <w:t xml:space="preserve">, </w:t>
      </w:r>
      <w:hyperlink w:anchor="Par11" w:history="1">
        <w:r w:rsidRPr="00987D8C">
          <w:rPr>
            <w:rFonts w:cs="Calibri"/>
            <w:bCs/>
            <w:color w:val="0000FF"/>
            <w:sz w:val="24"/>
            <w:szCs w:val="24"/>
          </w:rPr>
          <w:t>6</w:t>
        </w:r>
      </w:hyperlink>
      <w:r w:rsidRPr="00987D8C">
        <w:rPr>
          <w:rFonts w:cs="Calibri"/>
          <w:bCs/>
          <w:sz w:val="24"/>
          <w:szCs w:val="24"/>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987D8C">
          <w:rPr>
            <w:rFonts w:cs="Calibri"/>
            <w:bCs/>
            <w:color w:val="0000FF"/>
            <w:sz w:val="24"/>
            <w:szCs w:val="24"/>
          </w:rPr>
          <w:t>абзацем первым</w:t>
        </w:r>
      </w:hyperlink>
      <w:r w:rsidRPr="00987D8C">
        <w:rPr>
          <w:rFonts w:cs="Calibri"/>
          <w:bCs/>
          <w:sz w:val="24"/>
          <w:szCs w:val="24"/>
        </w:rPr>
        <w:t xml:space="preserve"> настоящего пункта. Допускается изменение этих коэффициентов, но не чаще одного раза в шесть месяцев.</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bookmarkStart w:id="2" w:name="Par6"/>
      <w:bookmarkEnd w:id="2"/>
      <w:r w:rsidRPr="00987D8C">
        <w:rPr>
          <w:rFonts w:cs="Calibri"/>
          <w:bCs/>
          <w:sz w:val="24"/>
          <w:szCs w:val="24"/>
        </w:rPr>
        <w:t>5. 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1) двух процентов кадастровой стоимости арендуемых земельных участков;</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2) трех десятых процента кадастровой стоимости арендуемых земельных участков из земель сельскохозяйственного назначения;</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3) полутора процентов кадастровой стоимости арендуемых земельных участков, изъятых из оборота или ограниченных в обороте.</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bookmarkStart w:id="3" w:name="Par11"/>
      <w:bookmarkEnd w:id="3"/>
      <w:r w:rsidRPr="00987D8C">
        <w:rPr>
          <w:rFonts w:cs="Calibri"/>
          <w:bCs/>
          <w:sz w:val="24"/>
          <w:szCs w:val="24"/>
        </w:rPr>
        <w:t xml:space="preserve">6. Если размер арендной платы за использование земельного участка, определяемый в соответствии с </w:t>
      </w:r>
      <w:hyperlink w:anchor="Par6" w:history="1">
        <w:r w:rsidRPr="00987D8C">
          <w:rPr>
            <w:rFonts w:cs="Calibri"/>
            <w:bCs/>
            <w:color w:val="0000FF"/>
            <w:sz w:val="24"/>
            <w:szCs w:val="24"/>
          </w:rPr>
          <w:t>пунктом 5</w:t>
        </w:r>
      </w:hyperlink>
      <w:r w:rsidRPr="00987D8C">
        <w:rPr>
          <w:rFonts w:cs="Calibri"/>
          <w:bCs/>
          <w:sz w:val="24"/>
          <w:szCs w:val="24"/>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987D8C">
          <w:rPr>
            <w:rFonts w:cs="Calibri"/>
            <w:bCs/>
            <w:color w:val="0000FF"/>
            <w:sz w:val="24"/>
            <w:szCs w:val="24"/>
          </w:rPr>
          <w:t>пунктом 5</w:t>
        </w:r>
      </w:hyperlink>
      <w:r w:rsidRPr="00987D8C">
        <w:rPr>
          <w:rFonts w:cs="Calibri"/>
          <w:bCs/>
          <w:sz w:val="24"/>
          <w:szCs w:val="24"/>
        </w:rPr>
        <w:t xml:space="preserve"> настоящего Положения, не может быть менее земельного налога за соответствующий земельный участок в отношении передаваемого в аренду земельного участка.</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1) Герои Советского Союза, Герои Российской Федерации или полные кавалеры ордена Славы;</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2) инвалиды I и II групп инвалидности;</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3) инвалиды с детства;</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4) ветераны и инвалиды Великой Отечественной войны, а также ветераны и инвалиды боевых действий;</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 xml:space="preserve">5) граждане, имеющие право на получение мер социальной поддержки в соответствии с </w:t>
      </w:r>
      <w:hyperlink r:id="rId5" w:history="1">
        <w:r w:rsidRPr="00987D8C">
          <w:rPr>
            <w:rFonts w:cs="Calibri"/>
            <w:bCs/>
            <w:color w:val="0000FF"/>
            <w:sz w:val="24"/>
            <w:szCs w:val="24"/>
          </w:rPr>
          <w:t>Законом</w:t>
        </w:r>
      </w:hyperlink>
      <w:r w:rsidRPr="00987D8C">
        <w:rPr>
          <w:rFonts w:cs="Calibri"/>
          <w:bCs/>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987D8C">
          <w:rPr>
            <w:rFonts w:cs="Calibri"/>
            <w:bCs/>
            <w:color w:val="0000FF"/>
            <w:sz w:val="24"/>
            <w:szCs w:val="24"/>
          </w:rPr>
          <w:t>законом</w:t>
        </w:r>
      </w:hyperlink>
      <w:r w:rsidRPr="00987D8C">
        <w:rPr>
          <w:rFonts w:cs="Calibri"/>
          <w:bCs/>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7" w:history="1">
        <w:r w:rsidRPr="00987D8C">
          <w:rPr>
            <w:rFonts w:cs="Calibri"/>
            <w:bCs/>
            <w:color w:val="0000FF"/>
            <w:sz w:val="24"/>
            <w:szCs w:val="24"/>
          </w:rPr>
          <w:t>законом</w:t>
        </w:r>
      </w:hyperlink>
      <w:r w:rsidRPr="00987D8C">
        <w:rPr>
          <w:rFonts w:cs="Calibri"/>
          <w:bCs/>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8" w:history="1">
        <w:r w:rsidRPr="00987D8C">
          <w:rPr>
            <w:rFonts w:cs="Calibri"/>
            <w:bCs/>
            <w:color w:val="0000FF"/>
            <w:sz w:val="24"/>
            <w:szCs w:val="24"/>
          </w:rPr>
          <w:t>пунктом 5 статьи 39.7</w:t>
        </w:r>
      </w:hyperlink>
      <w:r w:rsidRPr="00987D8C">
        <w:rPr>
          <w:rFonts w:cs="Calibri"/>
          <w:bCs/>
          <w:sz w:val="24"/>
          <w:szCs w:val="24"/>
        </w:rPr>
        <w:t xml:space="preserve"> Земельного кодекса Российской Федерации.</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 xml:space="preserve">10. Размер арендной платы за использование земельных участков, предоставленных для размещения объектов, предусмотренных </w:t>
      </w:r>
      <w:hyperlink r:id="rId9" w:history="1">
        <w:r w:rsidRPr="00987D8C">
          <w:rPr>
            <w:rFonts w:cs="Calibri"/>
            <w:bCs/>
            <w:color w:val="0000FF"/>
            <w:sz w:val="24"/>
            <w:szCs w:val="24"/>
          </w:rPr>
          <w:t>подпунктом 2 пункта 1 статьи 49</w:t>
        </w:r>
      </w:hyperlink>
      <w:r w:rsidRPr="00987D8C">
        <w:rPr>
          <w:rFonts w:cs="Calibri"/>
          <w:bCs/>
          <w:sz w:val="24"/>
          <w:szCs w:val="24"/>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12. 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EB2650" w:rsidRPr="00987D8C" w:rsidRDefault="00EB2650" w:rsidP="00B9578C">
      <w:pPr>
        <w:autoSpaceDE w:val="0"/>
        <w:autoSpaceDN w:val="0"/>
        <w:adjustRightInd w:val="0"/>
        <w:spacing w:after="0" w:line="240" w:lineRule="auto"/>
        <w:ind w:firstLine="540"/>
        <w:jc w:val="both"/>
        <w:rPr>
          <w:rFonts w:cs="Calibri"/>
          <w:bCs/>
          <w:sz w:val="24"/>
          <w:szCs w:val="24"/>
        </w:rPr>
      </w:pPr>
      <w:r w:rsidRPr="00987D8C">
        <w:rPr>
          <w:rFonts w:cs="Calibri"/>
          <w:bCs/>
          <w:sz w:val="24"/>
          <w:szCs w:val="24"/>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pPr>
        <w:pStyle w:val="ConsPlusNormal"/>
        <w:jc w:val="both"/>
        <w:rPr>
          <w:sz w:val="24"/>
          <w:szCs w:val="24"/>
        </w:rPr>
      </w:pPr>
    </w:p>
    <w:p w:rsidR="00EB2650" w:rsidRPr="00987D8C" w:rsidRDefault="00EB2650" w:rsidP="00E24076">
      <w:pPr>
        <w:pStyle w:val="ConsPlusNormal"/>
        <w:rPr>
          <w:sz w:val="24"/>
          <w:szCs w:val="24"/>
        </w:rPr>
      </w:pPr>
      <w:r w:rsidRPr="00987D8C">
        <w:rPr>
          <w:sz w:val="24"/>
          <w:szCs w:val="24"/>
        </w:rPr>
        <w:t>Глава Икейского</w:t>
      </w:r>
    </w:p>
    <w:p w:rsidR="00EB2650" w:rsidRPr="00987D8C" w:rsidRDefault="00EB2650" w:rsidP="00E24076">
      <w:pPr>
        <w:pStyle w:val="ConsPlusNormal"/>
        <w:rPr>
          <w:sz w:val="24"/>
          <w:szCs w:val="24"/>
        </w:rPr>
      </w:pPr>
      <w:r w:rsidRPr="00987D8C">
        <w:rPr>
          <w:sz w:val="24"/>
          <w:szCs w:val="24"/>
        </w:rPr>
        <w:t>сельского поселения                                                                                           С.А. Мусаев</w:t>
      </w:r>
    </w:p>
    <w:p w:rsidR="00EB2650" w:rsidRDefault="00EB2650">
      <w:pPr>
        <w:pStyle w:val="ConsPlusNormal"/>
        <w:pBdr>
          <w:top w:val="single" w:sz="6" w:space="0" w:color="auto"/>
        </w:pBdr>
        <w:spacing w:before="100" w:after="100"/>
        <w:jc w:val="both"/>
        <w:rPr>
          <w:sz w:val="2"/>
          <w:szCs w:val="2"/>
        </w:rPr>
      </w:pPr>
    </w:p>
    <w:p w:rsidR="00EB2650" w:rsidRDefault="00EB2650"/>
    <w:sectPr w:rsidR="00EB2650"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29E"/>
    <w:rsid w:val="00000539"/>
    <w:rsid w:val="00000564"/>
    <w:rsid w:val="00000E1A"/>
    <w:rsid w:val="00002112"/>
    <w:rsid w:val="0000221B"/>
    <w:rsid w:val="00010CC1"/>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315"/>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592"/>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0C5F"/>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6705D"/>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7C8"/>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881"/>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3C1"/>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4B9"/>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8D4"/>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9D6"/>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87D8C"/>
    <w:rsid w:val="009930D0"/>
    <w:rsid w:val="00993F1E"/>
    <w:rsid w:val="009959B9"/>
    <w:rsid w:val="0099621F"/>
    <w:rsid w:val="0099684B"/>
    <w:rsid w:val="00996F80"/>
    <w:rsid w:val="00997497"/>
    <w:rsid w:val="00997D52"/>
    <w:rsid w:val="009A03B7"/>
    <w:rsid w:val="009A19A7"/>
    <w:rsid w:val="009A1FF7"/>
    <w:rsid w:val="009A3C83"/>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058"/>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78C"/>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BF73EE"/>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37996"/>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77C73"/>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D74"/>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076"/>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5153"/>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2650"/>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2E84"/>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893"/>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3EE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729E"/>
    <w:pPr>
      <w:widowControl w:val="0"/>
      <w:autoSpaceDE w:val="0"/>
      <w:autoSpaceDN w:val="0"/>
    </w:pPr>
    <w:rPr>
      <w:rFonts w:eastAsia="Times New Roman" w:cs="Calibri"/>
      <w:szCs w:val="20"/>
    </w:rPr>
  </w:style>
  <w:style w:type="paragraph" w:customStyle="1" w:styleId="ConsPlusTitle">
    <w:name w:val="ConsPlusTitle"/>
    <w:uiPriority w:val="99"/>
    <w:rsid w:val="008C729E"/>
    <w:pPr>
      <w:widowControl w:val="0"/>
      <w:autoSpaceDE w:val="0"/>
      <w:autoSpaceDN w:val="0"/>
    </w:pPr>
    <w:rPr>
      <w:rFonts w:eastAsia="Times New Roman" w:cs="Calibri"/>
      <w:b/>
      <w:szCs w:val="20"/>
    </w:rPr>
  </w:style>
  <w:style w:type="paragraph" w:customStyle="1" w:styleId="ConsPlusTitlePage">
    <w:name w:val="ConsPlusTitlePage"/>
    <w:uiPriority w:val="99"/>
    <w:rsid w:val="008C729E"/>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361129813">
      <w:marLeft w:val="0"/>
      <w:marRight w:val="0"/>
      <w:marTop w:val="0"/>
      <w:marBottom w:val="0"/>
      <w:divBdr>
        <w:top w:val="none" w:sz="0" w:space="0" w:color="auto"/>
        <w:left w:val="none" w:sz="0" w:space="0" w:color="auto"/>
        <w:bottom w:val="none" w:sz="0" w:space="0" w:color="auto"/>
        <w:right w:val="none" w:sz="0" w:space="0" w:color="auto"/>
      </w:divBdr>
    </w:div>
    <w:div w:id="361129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webSettings" Target="webSettings.xml"/><Relationship Id="rId7" Type="http://schemas.openxmlformats.org/officeDocument/2006/relationships/hyperlink" Target="consultantplus://offline/ref=D8C7C21B70E82FDD0DFB17889437945A9EEE70CC78822AB4FD21FD77EEP7c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C7C21B70E82FDD0DFB17889437945A9EE17BCF7A872AB4FD21FD77EEP7c0C" TargetMode="External"/><Relationship Id="rId11" Type="http://schemas.openxmlformats.org/officeDocument/2006/relationships/theme" Target="theme/theme1.xml"/><Relationship Id="rId5" Type="http://schemas.openxmlformats.org/officeDocument/2006/relationships/hyperlink" Target="consultantplus://offline/ref=D8C7C21B70E82FDD0DFB17889437945A9EEE70CF71832AB4FD21FD77EEP7c0C" TargetMode="External"/><Relationship Id="rId10" Type="http://schemas.openxmlformats.org/officeDocument/2006/relationships/fontTable" Target="fontTable.xml"/><Relationship Id="rId4" Type="http://schemas.openxmlformats.org/officeDocument/2006/relationships/hyperlink" Target="consultantplus://offline/ref=D8C7C21B70E82FDD0DFB17889437945A9EEE7ACA7C822AB4FD21FD77EE70E83411D2CDED2FP4cCC" TargetMode="External"/><Relationship Id="rId9" Type="http://schemas.openxmlformats.org/officeDocument/2006/relationships/hyperlink" Target="consultantplus://offline/ref=D8C7C21B70E82FDD0DFB17889437945A9EEE7ACA7C822AB4FD21FD77EE70E83411D2CDE92C42P2c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4</Pages>
  <Words>1605</Words>
  <Characters>9151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Элемент</cp:lastModifiedBy>
  <cp:revision>18</cp:revision>
  <cp:lastPrinted>2016-02-26T08:10:00Z</cp:lastPrinted>
  <dcterms:created xsi:type="dcterms:W3CDTF">2015-11-26T01:17:00Z</dcterms:created>
  <dcterms:modified xsi:type="dcterms:W3CDTF">2016-02-26T08:11:00Z</dcterms:modified>
</cp:coreProperties>
</file>